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8C" w:rsidRDefault="009E418C"/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60C91" w:rsidTr="00D60C91">
        <w:tc>
          <w:tcPr>
            <w:tcW w:w="9779" w:type="dxa"/>
          </w:tcPr>
          <w:p w:rsidR="00D60C91" w:rsidRPr="0059377B" w:rsidRDefault="00D60C91" w:rsidP="0059377B">
            <w:pPr>
              <w:spacing w:line="360" w:lineRule="auto"/>
              <w:rPr>
                <w:rFonts w:ascii="Arial" w:hAnsi="Arial" w:cs="Arial"/>
              </w:rPr>
            </w:pPr>
            <w:r w:rsidRPr="00D60C91">
              <w:rPr>
                <w:rFonts w:ascii="Arial" w:hAnsi="Arial" w:cs="Arial"/>
                <w:b/>
                <w:bCs/>
              </w:rPr>
              <w:t>FICHA DE CAPACIDADES Nº:</w:t>
            </w:r>
            <w:r w:rsidRPr="00970416">
              <w:rPr>
                <w:rFonts w:ascii="Arial" w:hAnsi="Arial" w:cs="Arial"/>
              </w:rPr>
              <w:t xml:space="preserve">  </w:t>
            </w:r>
            <w:r w:rsidR="0059377B">
              <w:rPr>
                <w:rFonts w:ascii="Arial" w:hAnsi="Arial" w:cs="Arial"/>
              </w:rPr>
              <w:t>1</w:t>
            </w:r>
          </w:p>
        </w:tc>
      </w:tr>
      <w:tr w:rsidR="00D60C91" w:rsidTr="00D60C91">
        <w:tc>
          <w:tcPr>
            <w:tcW w:w="9779" w:type="dxa"/>
          </w:tcPr>
          <w:p w:rsidR="00D60C91" w:rsidRDefault="00D60C91" w:rsidP="00D60C91">
            <w:pPr>
              <w:spacing w:line="360" w:lineRule="auto"/>
              <w:rPr>
                <w:rFonts w:ascii="Arial" w:hAnsi="Arial" w:cs="Arial"/>
              </w:rPr>
            </w:pPr>
            <w:r w:rsidRPr="00D60C91">
              <w:rPr>
                <w:rFonts w:ascii="Arial" w:hAnsi="Arial" w:cs="Arial"/>
                <w:b/>
                <w:bCs/>
              </w:rPr>
              <w:t xml:space="preserve">Persona de contacto para esta capacidad:  </w:t>
            </w:r>
            <w:r w:rsidR="0059377B">
              <w:rPr>
                <w:rFonts w:ascii="Arial" w:hAnsi="Arial" w:cs="Arial"/>
                <w:b/>
                <w:bCs/>
              </w:rPr>
              <w:t xml:space="preserve">Javier </w:t>
            </w:r>
            <w:proofErr w:type="spellStart"/>
            <w:r w:rsidR="0059377B">
              <w:rPr>
                <w:rFonts w:ascii="Arial" w:hAnsi="Arial" w:cs="Arial"/>
                <w:b/>
                <w:bCs/>
              </w:rPr>
              <w:t>Belzunce</w:t>
            </w:r>
            <w:proofErr w:type="spellEnd"/>
            <w:r w:rsidR="004C280A">
              <w:rPr>
                <w:rFonts w:ascii="Arial" w:hAnsi="Arial" w:cs="Arial"/>
                <w:b/>
                <w:bCs/>
              </w:rPr>
              <w:t xml:space="preserve"> Varela</w:t>
            </w:r>
          </w:p>
        </w:tc>
      </w:tr>
    </w:tbl>
    <w:p w:rsidR="00D60C91" w:rsidRPr="00970416" w:rsidRDefault="00D60C91" w:rsidP="00970416">
      <w:pPr>
        <w:spacing w:before="120" w:after="12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2" w:space="0" w:color="E36C0A" w:themeColor="accent6" w:themeShade="BF"/>
          <w:left w:val="none" w:sz="0" w:space="0" w:color="auto"/>
          <w:bottom w:val="single" w:sz="12" w:space="0" w:color="E36C0A" w:themeColor="accent6" w:themeShade="BF"/>
          <w:right w:val="none" w:sz="0" w:space="0" w:color="auto"/>
          <w:insideH w:val="none" w:sz="0" w:space="0" w:color="auto"/>
          <w:insideV w:val="single" w:sz="12" w:space="0" w:color="E36C0A" w:themeColor="accent6" w:themeShade="BF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376D36">
        <w:tc>
          <w:tcPr>
            <w:tcW w:w="9747" w:type="dxa"/>
            <w:shd w:val="clear" w:color="auto" w:fill="auto"/>
          </w:tcPr>
          <w:p w:rsidR="00970416" w:rsidRPr="00FA7481" w:rsidRDefault="00970416" w:rsidP="00FA7481">
            <w:pPr>
              <w:pStyle w:val="Prrafodelista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TÍTULO</w:t>
            </w:r>
            <w:r w:rsidR="00156EB8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D60C9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</w:t>
            </w:r>
            <w:r w:rsidR="00156EB8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Debe servir para identificar la capacidad de I+D de forma clara, concisa y asequible para una persona no experta en la materia, intentando mostrar su aplicación. </w:t>
            </w:r>
            <w:r w:rsidR="00156EB8" w:rsidRPr="00FA748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Máx. 150</w:t>
            </w:r>
            <w:r w:rsidR="00D60C91" w:rsidRPr="00FA748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caracteres incluyendo espacios</w:t>
            </w:r>
            <w:r w:rsidR="00D60C9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</w:tr>
    </w:tbl>
    <w:p w:rsidR="00CD6AB4" w:rsidRPr="00BF6589" w:rsidRDefault="0059377B" w:rsidP="00970416">
      <w:pPr>
        <w:spacing w:before="120" w:after="120" w:line="360" w:lineRule="auto"/>
        <w:rPr>
          <w:rFonts w:ascii="Arial" w:hAnsi="Arial" w:cs="Arial"/>
          <w:b/>
        </w:rPr>
      </w:pPr>
      <w:r w:rsidRPr="00BF6589">
        <w:rPr>
          <w:rFonts w:ascii="Arial" w:hAnsi="Arial" w:cs="Arial"/>
          <w:b/>
        </w:rPr>
        <w:t>Análisis de fallos de componentes industriales ante cargas mecánicas, térmicas, oxidación, corrosión o desgaste.</w:t>
      </w: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FA7481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RESUMEN</w:t>
            </w:r>
            <w:r w:rsidR="00FA7481"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FA748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(Desarrollo del título incluyendo los aspectos más relevantes de dicha capacidad intentando captar el interés. </w:t>
            </w:r>
            <w:r w:rsidR="00FA7481" w:rsidRPr="00FA748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Máx. 500 caracteres incluyendo espacios</w:t>
            </w:r>
            <w:r w:rsid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="00FA748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</w:tbl>
    <w:p w:rsidR="00881A0E" w:rsidRDefault="00BF6589" w:rsidP="0097041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El grupo de investigación SIMUMECAMAT ofrece su experie</w:t>
      </w:r>
      <w:r w:rsidR="00BC6C0E">
        <w:rPr>
          <w:rFonts w:ascii="Arial" w:hAnsi="Arial" w:cs="Arial"/>
        </w:rPr>
        <w:t xml:space="preserve">ncia </w:t>
      </w:r>
      <w:r w:rsidR="00352638">
        <w:rPr>
          <w:rFonts w:ascii="Arial" w:hAnsi="Arial" w:cs="Arial"/>
        </w:rPr>
        <w:t xml:space="preserve">ya prolongada </w:t>
      </w:r>
      <w:r w:rsidR="00BC6C0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el e</w:t>
      </w:r>
      <w:r w:rsidRPr="00CF443B">
        <w:rPr>
          <w:rFonts w:ascii="Arial" w:hAnsi="Arial" w:cs="Arial"/>
        </w:rPr>
        <w:t>st</w:t>
      </w:r>
      <w:r w:rsidR="00625244">
        <w:rPr>
          <w:rFonts w:ascii="Arial" w:hAnsi="Arial" w:cs="Arial"/>
        </w:rPr>
        <w:t>udio de las causas del fallo de</w:t>
      </w:r>
      <w:r w:rsidR="00BC6C0E">
        <w:rPr>
          <w:rFonts w:ascii="Arial" w:hAnsi="Arial" w:cs="Arial"/>
        </w:rPr>
        <w:t xml:space="preserve"> </w:t>
      </w:r>
      <w:r w:rsidRPr="00CF443B">
        <w:rPr>
          <w:rFonts w:ascii="Arial" w:hAnsi="Arial" w:cs="Arial"/>
        </w:rPr>
        <w:t>componente</w:t>
      </w:r>
      <w:r w:rsidR="00BC6C0E">
        <w:rPr>
          <w:rFonts w:ascii="Arial" w:hAnsi="Arial" w:cs="Arial"/>
        </w:rPr>
        <w:t>s</w:t>
      </w:r>
      <w:r w:rsidR="00625244">
        <w:rPr>
          <w:rFonts w:ascii="Arial" w:hAnsi="Arial" w:cs="Arial"/>
        </w:rPr>
        <w:t xml:space="preserve"> estructurales</w:t>
      </w:r>
      <w:r w:rsidRPr="00CF443B">
        <w:rPr>
          <w:rFonts w:ascii="Arial" w:hAnsi="Arial" w:cs="Arial"/>
        </w:rPr>
        <w:t xml:space="preserve"> industrial</w:t>
      </w:r>
      <w:r w:rsidR="00BC6C0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625244">
        <w:rPr>
          <w:rFonts w:ascii="Arial" w:hAnsi="Arial" w:cs="Arial"/>
        </w:rPr>
        <w:t xml:space="preserve">de todo tipo </w:t>
      </w:r>
      <w:r>
        <w:rPr>
          <w:rFonts w:ascii="Arial" w:hAnsi="Arial" w:cs="Arial"/>
        </w:rPr>
        <w:t>ante cargas</w:t>
      </w:r>
      <w:r w:rsidR="00625244">
        <w:rPr>
          <w:rFonts w:ascii="Arial" w:hAnsi="Arial" w:cs="Arial"/>
        </w:rPr>
        <w:t xml:space="preserve"> y acciones variadas</w:t>
      </w:r>
      <w:r>
        <w:rPr>
          <w:rFonts w:ascii="Arial" w:hAnsi="Arial" w:cs="Arial"/>
        </w:rPr>
        <w:t xml:space="preserve">: </w:t>
      </w:r>
      <w:r w:rsidRPr="00CF443B">
        <w:rPr>
          <w:rFonts w:ascii="Arial" w:hAnsi="Arial" w:cs="Arial"/>
        </w:rPr>
        <w:t xml:space="preserve">mecánicas, térmicas, oxidación, corrosión, desgaste, etc., y ante la combinación de todas </w:t>
      </w:r>
      <w:r>
        <w:rPr>
          <w:rFonts w:ascii="Arial" w:hAnsi="Arial" w:cs="Arial"/>
        </w:rPr>
        <w:t>ellas.</w:t>
      </w:r>
    </w:p>
    <w:p w:rsidR="00625244" w:rsidRPr="00970416" w:rsidRDefault="00625244" w:rsidP="00970416">
      <w:pPr>
        <w:spacing w:before="120" w:after="12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FA7481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Y CARACTERÍSTICAS FUNDAMENTALES</w:t>
            </w:r>
            <w:r w:rsidR="00FA7481"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FA748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(Descripción de la capacidad asequible para no expertos, intentando dar respuesta a las siguientes preguntas: en qué consiste, cómo se lleva a cabo, qué ofrece, qué problemas resuelve. </w:t>
            </w:r>
            <w:r w:rsidR="00FA7481" w:rsidRPr="00FA748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Máx. 1500 caracteres</w:t>
            </w:r>
            <w:r w:rsid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</w:tr>
    </w:tbl>
    <w:p w:rsidR="00BF6589" w:rsidRPr="00BF6589" w:rsidRDefault="00BF6589" w:rsidP="00BF6589">
      <w:pPr>
        <w:spacing w:before="120" w:after="120" w:line="360" w:lineRule="auto"/>
        <w:jc w:val="both"/>
        <w:rPr>
          <w:rFonts w:ascii="Arial" w:hAnsi="Arial" w:cs="Arial"/>
        </w:rPr>
      </w:pPr>
      <w:r w:rsidRPr="00BF6589">
        <w:rPr>
          <w:rFonts w:ascii="Arial" w:hAnsi="Arial" w:cs="Arial"/>
        </w:rPr>
        <w:t xml:space="preserve">Dado que los componentes industriales sometidos a cargas </w:t>
      </w:r>
      <w:r w:rsidR="005D0FE9">
        <w:rPr>
          <w:rFonts w:ascii="Arial" w:hAnsi="Arial" w:cs="Arial"/>
        </w:rPr>
        <w:t>se</w:t>
      </w:r>
      <w:r w:rsidR="00625244">
        <w:rPr>
          <w:rFonts w:ascii="Arial" w:hAnsi="Arial" w:cs="Arial"/>
        </w:rPr>
        <w:t xml:space="preserve"> diseñan para que cumplan su func</w:t>
      </w:r>
      <w:r w:rsidR="005D0FE9">
        <w:rPr>
          <w:rFonts w:ascii="Arial" w:hAnsi="Arial" w:cs="Arial"/>
        </w:rPr>
        <w:t>ión durante una vida determinada</w:t>
      </w:r>
      <w:r w:rsidRPr="00BF6589">
        <w:rPr>
          <w:rFonts w:ascii="Arial" w:hAnsi="Arial" w:cs="Arial"/>
        </w:rPr>
        <w:t xml:space="preserve">, resulta de gran interés estudiar con detalle el comportamiento de los materiales </w:t>
      </w:r>
      <w:r w:rsidR="00625244">
        <w:rPr>
          <w:rFonts w:ascii="Arial" w:hAnsi="Arial" w:cs="Arial"/>
        </w:rPr>
        <w:t xml:space="preserve">con los que se fabrican </w:t>
      </w:r>
      <w:r w:rsidRPr="00BF6589">
        <w:rPr>
          <w:rFonts w:ascii="Arial" w:hAnsi="Arial" w:cs="Arial"/>
        </w:rPr>
        <w:t xml:space="preserve">ante las solicitaciones que </w:t>
      </w:r>
      <w:r w:rsidR="005D0FE9">
        <w:rPr>
          <w:rFonts w:ascii="Arial" w:hAnsi="Arial" w:cs="Arial"/>
        </w:rPr>
        <w:t xml:space="preserve">podrían terminar </w:t>
      </w:r>
      <w:r w:rsidR="002E12DA">
        <w:rPr>
          <w:rFonts w:ascii="Arial" w:hAnsi="Arial" w:cs="Arial"/>
        </w:rPr>
        <w:t>causando su fallo</w:t>
      </w:r>
      <w:r w:rsidR="00673FB3">
        <w:rPr>
          <w:rFonts w:ascii="Arial" w:hAnsi="Arial" w:cs="Arial"/>
        </w:rPr>
        <w:t>, dado el alto coste normalmente asociado al mismo</w:t>
      </w:r>
      <w:r w:rsidRPr="00BF6589">
        <w:rPr>
          <w:rFonts w:ascii="Arial" w:hAnsi="Arial" w:cs="Arial"/>
        </w:rPr>
        <w:t>. E</w:t>
      </w:r>
      <w:r w:rsidR="00625244">
        <w:rPr>
          <w:rFonts w:ascii="Arial" w:hAnsi="Arial" w:cs="Arial"/>
        </w:rPr>
        <w:t>n esta línea e</w:t>
      </w:r>
      <w:r w:rsidRPr="00BF6589">
        <w:rPr>
          <w:rFonts w:ascii="Arial" w:hAnsi="Arial" w:cs="Arial"/>
        </w:rPr>
        <w:t xml:space="preserve">l grupo de investigación SIMUMECAMAT </w:t>
      </w:r>
      <w:r w:rsidR="00625244">
        <w:rPr>
          <w:rFonts w:ascii="Arial" w:hAnsi="Arial" w:cs="Arial"/>
        </w:rPr>
        <w:t xml:space="preserve">puede </w:t>
      </w:r>
      <w:r w:rsidRPr="00BF6589">
        <w:rPr>
          <w:rFonts w:ascii="Arial" w:hAnsi="Arial" w:cs="Arial"/>
        </w:rPr>
        <w:t>realiza</w:t>
      </w:r>
      <w:r w:rsidR="00625244">
        <w:rPr>
          <w:rFonts w:ascii="Arial" w:hAnsi="Arial" w:cs="Arial"/>
        </w:rPr>
        <w:t>r</w:t>
      </w:r>
      <w:r w:rsidRPr="00BF6589">
        <w:rPr>
          <w:rFonts w:ascii="Arial" w:hAnsi="Arial" w:cs="Arial"/>
        </w:rPr>
        <w:t xml:space="preserve"> las siguientes tareas: </w:t>
      </w:r>
    </w:p>
    <w:p w:rsidR="00BF6589" w:rsidRPr="00701FAD" w:rsidRDefault="00625244" w:rsidP="00701FAD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de posibles problemas</w:t>
      </w:r>
      <w:r w:rsidR="00BF6589" w:rsidRPr="00701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defectos en el curso del proceso de fabricación de componentes</w:t>
      </w:r>
      <w:r w:rsidR="00BF6589" w:rsidRPr="00701FAD">
        <w:rPr>
          <w:rFonts w:ascii="Arial" w:hAnsi="Arial" w:cs="Arial"/>
        </w:rPr>
        <w:t>: conformado, tratamiento térmico, soldadura</w:t>
      </w:r>
      <w:r>
        <w:rPr>
          <w:rFonts w:ascii="Arial" w:hAnsi="Arial" w:cs="Arial"/>
        </w:rPr>
        <w:t>s</w:t>
      </w:r>
      <w:r w:rsidR="00BF6589" w:rsidRPr="00701FAD">
        <w:rPr>
          <w:rFonts w:ascii="Arial" w:hAnsi="Arial" w:cs="Arial"/>
        </w:rPr>
        <w:t>, etc.</w:t>
      </w:r>
    </w:p>
    <w:p w:rsidR="00BF6589" w:rsidRPr="00701FAD" w:rsidRDefault="00BF6589" w:rsidP="00701FAD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701FAD">
        <w:rPr>
          <w:rFonts w:ascii="Arial" w:hAnsi="Arial" w:cs="Arial"/>
        </w:rPr>
        <w:t>Determinación de las causas del fallo</w:t>
      </w:r>
      <w:r w:rsidR="00625244">
        <w:rPr>
          <w:rFonts w:ascii="Arial" w:hAnsi="Arial" w:cs="Arial"/>
        </w:rPr>
        <w:t>.</w:t>
      </w:r>
    </w:p>
    <w:p w:rsidR="00BF6589" w:rsidRPr="00701FAD" w:rsidRDefault="00BF6589" w:rsidP="00701FAD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701FAD">
        <w:rPr>
          <w:rFonts w:ascii="Arial" w:hAnsi="Arial" w:cs="Arial"/>
        </w:rPr>
        <w:t>Propuesta de soluciones para que el fallo no vuelva a repetirse</w:t>
      </w:r>
    </w:p>
    <w:p w:rsidR="00BF6589" w:rsidRPr="00701FAD" w:rsidRDefault="00BF6589" w:rsidP="00701FAD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701FAD">
        <w:rPr>
          <w:rFonts w:ascii="Arial" w:hAnsi="Arial" w:cs="Arial"/>
        </w:rPr>
        <w:t>Acciones a emprender para que el servicio del componente sea en adelante seguro.</w:t>
      </w:r>
    </w:p>
    <w:p w:rsidR="00881A0E" w:rsidRPr="00970416" w:rsidRDefault="00BF6589" w:rsidP="00BF6589">
      <w:pPr>
        <w:spacing w:before="120" w:after="120" w:line="360" w:lineRule="auto"/>
        <w:jc w:val="both"/>
        <w:rPr>
          <w:rFonts w:ascii="Arial" w:hAnsi="Arial" w:cs="Arial"/>
        </w:rPr>
      </w:pPr>
      <w:r w:rsidRPr="00BF6589">
        <w:rPr>
          <w:rFonts w:ascii="Arial" w:hAnsi="Arial" w:cs="Arial"/>
        </w:rPr>
        <w:t xml:space="preserve">Para llevar a cabo estos análisis el Grupo de Investigación SIMUMECAMAT cuenta con </w:t>
      </w:r>
      <w:r w:rsidR="005D0FE9">
        <w:rPr>
          <w:rFonts w:ascii="Arial" w:hAnsi="Arial" w:cs="Arial"/>
        </w:rPr>
        <w:t>diferentes instrumentos de análisis</w:t>
      </w:r>
      <w:r w:rsidRPr="00BF6589">
        <w:rPr>
          <w:rFonts w:ascii="Arial" w:hAnsi="Arial" w:cs="Arial"/>
        </w:rPr>
        <w:t xml:space="preserve">: microscopios ópticos y electrónicos; hornos para tratamientos térmicos de laboratorio, máquinas estáticas y dinámicas universales para la ejecución de todo tipo de ensayos mecánicos; ensayos electroquímicos de corrosión; cámaras de niebla salina y cámaras ambientales; </w:t>
      </w:r>
      <w:r w:rsidR="005D0FE9">
        <w:rPr>
          <w:rFonts w:ascii="Arial" w:hAnsi="Arial" w:cs="Arial"/>
        </w:rPr>
        <w:t xml:space="preserve">tribómetro, </w:t>
      </w:r>
      <w:r w:rsidRPr="00BF6589">
        <w:rPr>
          <w:rFonts w:ascii="Arial" w:hAnsi="Arial" w:cs="Arial"/>
        </w:rPr>
        <w:t>estaciones de trabajo y programas de cálculo de elementos finitos.</w:t>
      </w: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FA7481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PALABRAS CLAVE</w:t>
            </w:r>
            <w:r w:rsidR="00FA7481"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FA748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</w:t>
            </w:r>
            <w:r w:rsid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Máx.</w:t>
            </w:r>
            <w:r w:rsidR="00FA748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10 palabras)</w:t>
            </w:r>
          </w:p>
        </w:tc>
      </w:tr>
    </w:tbl>
    <w:p w:rsidR="00BF6589" w:rsidRPr="00B938A6" w:rsidRDefault="00BF6589" w:rsidP="00BF6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Fallo, </w:t>
      </w:r>
      <w:r w:rsidR="005D0FE9">
        <w:rPr>
          <w:rFonts w:ascii="Arial" w:hAnsi="Arial" w:cs="Arial"/>
        </w:rPr>
        <w:t>mecánica de fractura, fatiga</w:t>
      </w:r>
      <w:r>
        <w:rPr>
          <w:rFonts w:ascii="Arial" w:hAnsi="Arial" w:cs="Arial"/>
        </w:rPr>
        <w:t xml:space="preserve">, corrosión, desgaste, oxidación, </w:t>
      </w:r>
      <w:r w:rsidR="005D0FE9">
        <w:rPr>
          <w:rFonts w:ascii="Arial" w:hAnsi="Arial" w:cs="Arial"/>
        </w:rPr>
        <w:t>componente industrial.</w:t>
      </w:r>
    </w:p>
    <w:p w:rsidR="00881A0E" w:rsidRPr="00970416" w:rsidRDefault="00881A0E" w:rsidP="00970416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F2F2F2" w:themeFill="background1" w:themeFillShade="F2"/>
          </w:tcPr>
          <w:p w:rsidR="00881A0E" w:rsidRPr="006E3C7A" w:rsidRDefault="00881A0E" w:rsidP="006E3C7A">
            <w:pPr>
              <w:pStyle w:val="Prrafodelista"/>
              <w:numPr>
                <w:ilvl w:val="1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6E3C7A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Utilizar la clasificación de la Enterprise </w:t>
            </w:r>
            <w:proofErr w:type="spellStart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Europe</w:t>
            </w:r>
            <w:proofErr w:type="spellEnd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 Network BBS - </w:t>
            </w:r>
            <w:proofErr w:type="spellStart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Technology</w:t>
            </w:r>
            <w:proofErr w:type="spellEnd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keywords</w:t>
            </w:r>
            <w:proofErr w:type="spellEnd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. </w:t>
            </w:r>
            <w:r w:rsidRPr="006E3C7A">
              <w:rPr>
                <w:rFonts w:ascii="Arial" w:hAnsi="Arial" w:cs="Arial"/>
                <w:b/>
                <w:i/>
                <w:color w:val="C00000"/>
              </w:rPr>
              <w:t>A rellenar por el técnico OTRI</w:t>
            </w:r>
          </w:p>
        </w:tc>
      </w:tr>
    </w:tbl>
    <w:p w:rsidR="00BF6589" w:rsidRPr="00BF6589" w:rsidRDefault="00BF6589" w:rsidP="00801461">
      <w:pPr>
        <w:spacing w:before="60" w:after="60" w:line="240" w:lineRule="auto"/>
        <w:jc w:val="both"/>
        <w:rPr>
          <w:rFonts w:ascii="Arial" w:hAnsi="Arial" w:cs="Arial"/>
          <w:lang w:val="en-US"/>
        </w:rPr>
      </w:pPr>
      <w:r w:rsidRPr="00BF6589">
        <w:rPr>
          <w:rFonts w:ascii="Arial" w:hAnsi="Arial" w:cs="Arial"/>
          <w:lang w:val="en-US"/>
        </w:rPr>
        <w:t>2.6.1. Building Materials, Components and Methods</w:t>
      </w:r>
    </w:p>
    <w:p w:rsidR="00BF6589" w:rsidRPr="00BF6589" w:rsidRDefault="00BF6589" w:rsidP="00801461">
      <w:pPr>
        <w:spacing w:before="60" w:after="60" w:line="240" w:lineRule="auto"/>
        <w:jc w:val="both"/>
        <w:rPr>
          <w:rFonts w:ascii="Arial" w:hAnsi="Arial" w:cs="Arial"/>
          <w:lang w:val="en-US"/>
        </w:rPr>
      </w:pPr>
      <w:r w:rsidRPr="00BF6589">
        <w:rPr>
          <w:rFonts w:ascii="Arial" w:hAnsi="Arial" w:cs="Arial"/>
          <w:lang w:val="en-US"/>
        </w:rPr>
        <w:t>2.7.8. Iron and Steel, Steelworks</w:t>
      </w:r>
    </w:p>
    <w:p w:rsidR="00BF6589" w:rsidRPr="00BF6589" w:rsidRDefault="00BF6589" w:rsidP="00801461">
      <w:pPr>
        <w:spacing w:before="60" w:after="60" w:line="240" w:lineRule="auto"/>
        <w:jc w:val="both"/>
        <w:rPr>
          <w:rFonts w:ascii="Arial" w:hAnsi="Arial" w:cs="Arial"/>
          <w:lang w:val="en-US"/>
        </w:rPr>
      </w:pPr>
      <w:r w:rsidRPr="00BF6589">
        <w:rPr>
          <w:rFonts w:ascii="Arial" w:hAnsi="Arial" w:cs="Arial"/>
          <w:lang w:val="en-US"/>
        </w:rPr>
        <w:t>2.7.10. Metals and alloys</w:t>
      </w:r>
    </w:p>
    <w:p w:rsidR="00BF6589" w:rsidRPr="00BF6589" w:rsidRDefault="00BF6589" w:rsidP="00801461">
      <w:pPr>
        <w:spacing w:before="60" w:after="60" w:line="240" w:lineRule="auto"/>
        <w:jc w:val="both"/>
        <w:rPr>
          <w:rFonts w:ascii="Arial" w:hAnsi="Arial" w:cs="Arial"/>
          <w:lang w:val="en-US"/>
        </w:rPr>
      </w:pPr>
      <w:r w:rsidRPr="00BF6589">
        <w:rPr>
          <w:rFonts w:ascii="Arial" w:hAnsi="Arial" w:cs="Arial"/>
          <w:lang w:val="en-US"/>
        </w:rPr>
        <w:t>2.7.15. Properties of Materials, Corrosion/Degradation</w:t>
      </w:r>
    </w:p>
    <w:p w:rsidR="00BF6589" w:rsidRPr="00BF6589" w:rsidRDefault="00BF6589" w:rsidP="00801461">
      <w:pPr>
        <w:spacing w:before="60" w:after="60" w:line="240" w:lineRule="auto"/>
        <w:jc w:val="both"/>
        <w:rPr>
          <w:rFonts w:ascii="Arial" w:hAnsi="Arial" w:cs="Arial"/>
          <w:lang w:val="en-US"/>
        </w:rPr>
      </w:pPr>
      <w:r w:rsidRPr="00BF6589">
        <w:rPr>
          <w:rFonts w:ascii="Arial" w:hAnsi="Arial" w:cs="Arial"/>
          <w:lang w:val="en-US"/>
        </w:rPr>
        <w:t>9.1.5. Mechanical Technology related to measurements</w:t>
      </w:r>
    </w:p>
    <w:p w:rsidR="00573FB9" w:rsidRPr="00970416" w:rsidRDefault="00BF6589" w:rsidP="00801461">
      <w:pPr>
        <w:spacing w:before="60" w:after="60" w:line="240" w:lineRule="auto"/>
        <w:jc w:val="both"/>
        <w:rPr>
          <w:rFonts w:ascii="Arial" w:hAnsi="Arial" w:cs="Arial"/>
        </w:rPr>
      </w:pPr>
      <w:r w:rsidRPr="00BF6589">
        <w:rPr>
          <w:rFonts w:ascii="Arial" w:hAnsi="Arial" w:cs="Arial"/>
          <w:lang w:val="en-US"/>
        </w:rPr>
        <w:t xml:space="preserve">9.1.10. </w:t>
      </w:r>
      <w:proofErr w:type="spellStart"/>
      <w:r w:rsidRPr="00BF6589">
        <w:rPr>
          <w:rFonts w:ascii="Arial" w:hAnsi="Arial" w:cs="Arial"/>
        </w:rPr>
        <w:t>Thermal</w:t>
      </w:r>
      <w:proofErr w:type="spellEnd"/>
      <w:r w:rsidRPr="00BF6589">
        <w:rPr>
          <w:rFonts w:ascii="Arial" w:hAnsi="Arial" w:cs="Arial"/>
        </w:rPr>
        <w:t xml:space="preserve"> material </w:t>
      </w:r>
      <w:proofErr w:type="spellStart"/>
      <w:r w:rsidRPr="00BF6589">
        <w:rPr>
          <w:rFonts w:ascii="Arial" w:hAnsi="Arial" w:cs="Arial"/>
        </w:rPr>
        <w:t>testing</w:t>
      </w:r>
      <w:proofErr w:type="spellEnd"/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FA7481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FA7481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APLICACIONES</w:t>
            </w:r>
            <w:r w:rsid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FA7481" w:rsidRPr="006E3C7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</w:t>
            </w:r>
            <w:r w:rsidR="00FA748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¿Para qué sirve? ¿Cuál es su utilidad? </w:t>
            </w:r>
            <w:r w:rsidR="00FA7481" w:rsidRPr="00FA748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Máx. 750 caracteres incluyendo espacios</w:t>
            </w:r>
            <w:r w:rsidR="00FA7481" w:rsidRPr="00FA748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</w:tr>
    </w:tbl>
    <w:p w:rsidR="00881A0E" w:rsidRPr="00673FB3" w:rsidRDefault="00BF6589" w:rsidP="00673FB3">
      <w:pPr>
        <w:jc w:val="both"/>
        <w:rPr>
          <w:rFonts w:ascii="Arial" w:hAnsi="Arial" w:cs="Arial"/>
        </w:rPr>
      </w:pPr>
      <w:r w:rsidRPr="00673FB3">
        <w:rPr>
          <w:rFonts w:ascii="Arial" w:hAnsi="Arial" w:cs="Arial"/>
        </w:rPr>
        <w:t>El estudio de las causas de</w:t>
      </w:r>
      <w:r w:rsidR="00673FB3" w:rsidRPr="00673FB3">
        <w:rPr>
          <w:rFonts w:ascii="Arial" w:hAnsi="Arial" w:cs="Arial"/>
        </w:rPr>
        <w:t>l</w:t>
      </w:r>
      <w:r w:rsidRPr="00673FB3">
        <w:rPr>
          <w:rFonts w:ascii="Arial" w:hAnsi="Arial" w:cs="Arial"/>
        </w:rPr>
        <w:t xml:space="preserve"> fallo de componentes indu</w:t>
      </w:r>
      <w:r w:rsidR="00673FB3" w:rsidRPr="00673FB3">
        <w:rPr>
          <w:rFonts w:ascii="Arial" w:hAnsi="Arial" w:cs="Arial"/>
        </w:rPr>
        <w:t>striales tiene un gran inter</w:t>
      </w:r>
      <w:r w:rsidR="00673FB3">
        <w:rPr>
          <w:rFonts w:ascii="Arial" w:hAnsi="Arial" w:cs="Arial"/>
        </w:rPr>
        <w:t>és</w:t>
      </w:r>
      <w:r w:rsidR="00673FB3" w:rsidRPr="00673FB3">
        <w:rPr>
          <w:rFonts w:ascii="Arial" w:hAnsi="Arial" w:cs="Arial"/>
        </w:rPr>
        <w:t xml:space="preserve"> de cara a </w:t>
      </w:r>
      <w:r w:rsidR="00673FB3">
        <w:rPr>
          <w:rFonts w:ascii="Arial" w:hAnsi="Arial" w:cs="Arial"/>
        </w:rPr>
        <w:t>decidir las a</w:t>
      </w:r>
      <w:r w:rsidR="00673FB3" w:rsidRPr="00701FAD">
        <w:rPr>
          <w:rFonts w:ascii="Arial" w:hAnsi="Arial" w:cs="Arial"/>
        </w:rPr>
        <w:t>cciones a emprender para que el servicio del componente sea en adelante seguro</w:t>
      </w:r>
      <w:r w:rsidR="00673FB3" w:rsidRPr="00673FB3">
        <w:rPr>
          <w:rFonts w:ascii="Arial" w:hAnsi="Arial" w:cs="Arial"/>
        </w:rPr>
        <w:t xml:space="preserve"> </w:t>
      </w:r>
      <w:r w:rsidR="00673FB3">
        <w:rPr>
          <w:rFonts w:ascii="Arial" w:hAnsi="Arial" w:cs="Arial"/>
        </w:rPr>
        <w:t xml:space="preserve">y </w:t>
      </w:r>
      <w:r w:rsidR="00673FB3" w:rsidRPr="00673FB3">
        <w:rPr>
          <w:rFonts w:ascii="Arial" w:hAnsi="Arial" w:cs="Arial"/>
        </w:rPr>
        <w:t>evitar</w:t>
      </w:r>
      <w:r w:rsidRPr="00673FB3">
        <w:rPr>
          <w:rFonts w:ascii="Arial" w:hAnsi="Arial" w:cs="Arial"/>
        </w:rPr>
        <w:t xml:space="preserve"> </w:t>
      </w:r>
      <w:r w:rsidR="00673FB3" w:rsidRPr="00673FB3">
        <w:rPr>
          <w:rFonts w:ascii="Arial" w:hAnsi="Arial" w:cs="Arial"/>
        </w:rPr>
        <w:t>que el mismo no vuelva a repetirse</w:t>
      </w:r>
      <w:r w:rsidR="00673FB3">
        <w:rPr>
          <w:rFonts w:ascii="Arial" w:hAnsi="Arial" w:cs="Arial"/>
        </w:rPr>
        <w:t>.</w:t>
      </w:r>
    </w:p>
    <w:p w:rsidR="00673FB3" w:rsidRPr="00673FB3" w:rsidRDefault="00673FB3" w:rsidP="00673FB3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FA7481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VENTAJAS TÉCNICAS Y COMPETITIVAS</w:t>
            </w:r>
            <w:r w:rsidR="00FA7481"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FA7481" w:rsidRPr="006E3C7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(Ventajas técnicas frente a otros productos/ servicios/ tecnologías y beneficios empresariales para un posible adquiriente. </w:t>
            </w:r>
            <w:r w:rsidR="00FA7481" w:rsidRPr="006E3C7A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Máx. 750 caracteres incluyendo espacios</w:t>
            </w:r>
            <w:r w:rsidR="00FA7481" w:rsidRPr="006E3C7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).</w:t>
            </w:r>
          </w:p>
        </w:tc>
      </w:tr>
    </w:tbl>
    <w:p w:rsidR="00881A0E" w:rsidRDefault="005D0FE9" w:rsidP="0097041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diseño de componentes más seguros, con una mayor vida útil o con necesidades inferiores de mantenimiento supone tanto un ahorro económico como ventajas competitivas evidentes, cuya cuantía dependerá de cada caso particular.</w:t>
      </w:r>
    </w:p>
    <w:p w:rsidR="00CD6AB4" w:rsidRPr="00970416" w:rsidRDefault="00CD6AB4" w:rsidP="00970416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6E3C7A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SECTORES DE APLICACIÓN</w:t>
            </w:r>
            <w:r w:rsidR="006E3C7A"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6E3C7A" w:rsidRPr="006E3C7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(Máx. 5 sectores)</w:t>
            </w:r>
          </w:p>
        </w:tc>
      </w:tr>
    </w:tbl>
    <w:p w:rsidR="00BF6589" w:rsidRDefault="00BF6589" w:rsidP="00BF658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Sector de fabricación de bienes de equipo.</w:t>
      </w:r>
    </w:p>
    <w:p w:rsidR="00BF6589" w:rsidRDefault="00BF6589" w:rsidP="00BF658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Empresas fabricantes o transformadores de productos metálicos.</w:t>
      </w:r>
    </w:p>
    <w:p w:rsidR="00BF6589" w:rsidRPr="00D67027" w:rsidRDefault="00BF6589" w:rsidP="00BF658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Empresas ejecutoras de obras soldadas.</w:t>
      </w:r>
    </w:p>
    <w:p w:rsidR="00881A0E" w:rsidRPr="006E3C7A" w:rsidRDefault="00881A0E" w:rsidP="00970416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F2F2F2" w:themeFill="background1" w:themeFillShade="F2"/>
          </w:tcPr>
          <w:p w:rsidR="00881A0E" w:rsidRPr="006E3C7A" w:rsidRDefault="00881A0E" w:rsidP="006E3C7A">
            <w:pPr>
              <w:pStyle w:val="Prrafodelista"/>
              <w:numPr>
                <w:ilvl w:val="1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Indicar los códigos empleando la clasificación de la EEN: BBS - </w:t>
            </w:r>
            <w:proofErr w:type="spellStart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Detailed</w:t>
            </w:r>
            <w:proofErr w:type="spellEnd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Market</w:t>
            </w:r>
            <w:proofErr w:type="spellEnd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Application</w:t>
            </w:r>
            <w:proofErr w:type="spellEnd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Codes</w:t>
            </w:r>
            <w:proofErr w:type="spellEnd"/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 xml:space="preserve"> (VEIC).</w:t>
            </w:r>
            <w:r w:rsidRPr="006E3C7A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="006E3C7A" w:rsidRPr="006E3C7A">
              <w:rPr>
                <w:rFonts w:ascii="Arial" w:hAnsi="Arial" w:cs="Arial"/>
                <w:b/>
                <w:i/>
                <w:color w:val="404040" w:themeColor="text1" w:themeTint="BF"/>
              </w:rPr>
              <w:t>Máx. 5 sectores.</w:t>
            </w:r>
            <w:r w:rsidR="006E3C7A" w:rsidRPr="006E3C7A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6E3C7A" w:rsidRPr="006E3C7A">
              <w:rPr>
                <w:rFonts w:ascii="Arial" w:hAnsi="Arial" w:cs="Arial"/>
                <w:b/>
                <w:i/>
                <w:color w:val="C00000"/>
              </w:rPr>
              <w:t>A rellenar por el técnico OTRI</w:t>
            </w:r>
            <w:r w:rsidR="006E3C7A" w:rsidRPr="006E3C7A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</w:tbl>
    <w:p w:rsidR="00BF6589" w:rsidRPr="001839AB" w:rsidRDefault="00BF6589" w:rsidP="00801461">
      <w:pPr>
        <w:spacing w:before="60" w:after="60" w:line="240" w:lineRule="auto"/>
        <w:jc w:val="both"/>
        <w:rPr>
          <w:rFonts w:ascii="Arial" w:hAnsi="Arial" w:cs="Arial"/>
          <w:lang w:val="en-US"/>
        </w:rPr>
      </w:pPr>
      <w:r w:rsidRPr="001839AB">
        <w:rPr>
          <w:rFonts w:ascii="Arial" w:hAnsi="Arial" w:cs="Arial"/>
          <w:lang w:val="en-US"/>
        </w:rPr>
        <w:t>8.1. 12) Specialty metals (including processes for working with metals)</w:t>
      </w:r>
    </w:p>
    <w:p w:rsidR="00BF6589" w:rsidRPr="00143484" w:rsidRDefault="00BF6589" w:rsidP="00801461">
      <w:pPr>
        <w:spacing w:before="60" w:after="60" w:line="240" w:lineRule="auto"/>
        <w:jc w:val="both"/>
        <w:rPr>
          <w:rFonts w:ascii="Arial" w:hAnsi="Arial" w:cs="Arial"/>
        </w:rPr>
      </w:pPr>
      <w:r w:rsidRPr="00CF443B">
        <w:rPr>
          <w:rFonts w:ascii="Arial" w:hAnsi="Arial" w:cs="Arial"/>
        </w:rPr>
        <w:t xml:space="preserve">8.3. Industrial </w:t>
      </w:r>
      <w:proofErr w:type="spellStart"/>
      <w:r w:rsidRPr="00CF443B">
        <w:rPr>
          <w:rFonts w:ascii="Arial" w:hAnsi="Arial" w:cs="Arial"/>
        </w:rPr>
        <w:t>Equipment</w:t>
      </w:r>
      <w:proofErr w:type="spellEnd"/>
      <w:r w:rsidRPr="00CF443B">
        <w:rPr>
          <w:rFonts w:ascii="Arial" w:hAnsi="Arial" w:cs="Arial"/>
        </w:rPr>
        <w:t xml:space="preserve"> and </w:t>
      </w:r>
      <w:proofErr w:type="spellStart"/>
      <w:r w:rsidRPr="00CF443B">
        <w:rPr>
          <w:rFonts w:ascii="Arial" w:hAnsi="Arial" w:cs="Arial"/>
        </w:rPr>
        <w:t>Machinery</w:t>
      </w:r>
      <w:proofErr w:type="spellEnd"/>
    </w:p>
    <w:p w:rsidR="00881A0E" w:rsidRPr="00970416" w:rsidRDefault="00881A0E" w:rsidP="00970416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6E3C7A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EMPRESAS CON LAS QUE COLABORA/</w:t>
            </w:r>
            <w:r w:rsidR="006E3C7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HA COLABORADO</w:t>
            </w:r>
            <w:r w:rsidR="006E3C7A"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6E3C7A" w:rsidRPr="006E3C7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(Relacionadas con esta Capacidad de I+D. Máx. 10 empresas)</w:t>
            </w:r>
          </w:p>
        </w:tc>
      </w:tr>
    </w:tbl>
    <w:p w:rsidR="00BF6589" w:rsidRDefault="00BF6589" w:rsidP="00BF6589">
      <w:pPr>
        <w:spacing w:after="0" w:line="240" w:lineRule="auto"/>
        <w:jc w:val="both"/>
      </w:pPr>
      <w:r>
        <w:t>FUNDACION ITMA</w:t>
      </w:r>
    </w:p>
    <w:p w:rsidR="00BF6589" w:rsidRDefault="00BF6589" w:rsidP="00BF6589">
      <w:pPr>
        <w:spacing w:after="0" w:line="240" w:lineRule="auto"/>
        <w:jc w:val="both"/>
      </w:pPr>
      <w:r>
        <w:t>ARCELOR ESPAÑA SA</w:t>
      </w:r>
    </w:p>
    <w:p w:rsidR="005D0FE9" w:rsidRDefault="005D0FE9" w:rsidP="00BF6589">
      <w:pPr>
        <w:spacing w:after="0" w:line="240" w:lineRule="auto"/>
        <w:jc w:val="both"/>
      </w:pPr>
      <w:r>
        <w:t>TSK INGENIERIA</w:t>
      </w:r>
    </w:p>
    <w:p w:rsidR="00BF6589" w:rsidRDefault="00BF6589" w:rsidP="00BF6589">
      <w:pPr>
        <w:spacing w:after="0" w:line="240" w:lineRule="auto"/>
        <w:jc w:val="both"/>
      </w:pPr>
      <w:r>
        <w:t>GENERAL DIYNAMICS</w:t>
      </w:r>
    </w:p>
    <w:p w:rsidR="005D0FE9" w:rsidRDefault="005D0FE9" w:rsidP="00BF6589">
      <w:pPr>
        <w:spacing w:after="0" w:line="240" w:lineRule="auto"/>
        <w:jc w:val="both"/>
      </w:pPr>
      <w:r>
        <w:t>FUNDICION NODULAR</w:t>
      </w:r>
    </w:p>
    <w:p w:rsidR="005D0FE9" w:rsidRDefault="005D0FE9" w:rsidP="005D0FE9">
      <w:pPr>
        <w:spacing w:after="0" w:line="240" w:lineRule="auto"/>
        <w:jc w:val="both"/>
      </w:pPr>
      <w:r>
        <w:t>FELGUERA CALDERERIA PESADA</w:t>
      </w:r>
    </w:p>
    <w:p w:rsidR="00E052CF" w:rsidRDefault="00E052CF" w:rsidP="005D0FE9">
      <w:pPr>
        <w:spacing w:after="0" w:line="240" w:lineRule="auto"/>
        <w:jc w:val="both"/>
      </w:pPr>
      <w:r>
        <w:t>CIE GALFOR</w:t>
      </w:r>
    </w:p>
    <w:p w:rsidR="005D0FE9" w:rsidRPr="005D0FE9" w:rsidRDefault="005D0FE9" w:rsidP="005D0FE9">
      <w:pPr>
        <w:spacing w:after="0" w:line="240" w:lineRule="auto"/>
        <w:jc w:val="both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6E3C7A" w:rsidRDefault="00881A0E" w:rsidP="006E3C7A">
            <w:pPr>
              <w:pStyle w:val="Prrafodelista"/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b/>
                <w:color w:val="404040" w:themeColor="text1" w:themeTint="BF"/>
              </w:rPr>
            </w:pPr>
            <w:r w:rsidRPr="006E3C7A">
              <w:rPr>
                <w:rFonts w:ascii="Arial" w:hAnsi="Arial" w:cs="Arial"/>
                <w:b/>
                <w:color w:val="404040" w:themeColor="text1" w:themeTint="BF"/>
              </w:rPr>
              <w:t>Indicar el</w:t>
            </w:r>
            <w:r w:rsidR="006E3C7A">
              <w:rPr>
                <w:rFonts w:ascii="Arial" w:hAnsi="Arial" w:cs="Arial"/>
                <w:b/>
                <w:color w:val="404040" w:themeColor="text1" w:themeTint="BF"/>
              </w:rPr>
              <w:t xml:space="preserve"> nombre de potenciales clientes. </w:t>
            </w:r>
            <w:r w:rsidR="006E3C7A" w:rsidRPr="006E3C7A">
              <w:rPr>
                <w:rFonts w:ascii="Arial" w:hAnsi="Arial" w:cs="Arial"/>
                <w:color w:val="404040" w:themeColor="text1" w:themeTint="BF"/>
              </w:rPr>
              <w:t>(</w:t>
            </w:r>
            <w:r w:rsidR="006E3C7A" w:rsidRPr="006E3C7A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Máx. 10 empresas)</w:t>
            </w:r>
          </w:p>
        </w:tc>
      </w:tr>
    </w:tbl>
    <w:p w:rsidR="00881A0E" w:rsidRPr="00970416" w:rsidRDefault="00E052CF" w:rsidP="0097041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Prácticamente cualquier empresa podría ser un potencial cliente de esta actividad.</w:t>
      </w:r>
    </w:p>
    <w:p w:rsidR="00881A0E" w:rsidRPr="00970416" w:rsidRDefault="00881A0E" w:rsidP="00970416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6E3C7A" w:rsidP="006E3C7A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lastRenderedPageBreak/>
              <w:t>I+D ASOCIADA</w:t>
            </w:r>
            <w:r w:rsidR="00881A0E"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A ESTA CAPACIDAD</w:t>
            </w:r>
            <w:r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6E3C7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(Indicar los resultados de I+D </w:t>
            </w:r>
            <w:r w:rsidRPr="00DE1357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</w:rPr>
              <w:t>más destacados</w:t>
            </w:r>
            <w:r w:rsidRPr="006E3C7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relacionados con esta capacidad: patentes, proyectos, contratos con empresas, creación de empresas spin-off)</w:t>
            </w:r>
          </w:p>
        </w:tc>
      </w:tr>
    </w:tbl>
    <w:p w:rsidR="00BF6589" w:rsidRDefault="00BF6589" w:rsidP="00BF6589">
      <w:pPr>
        <w:jc w:val="both"/>
        <w:rPr>
          <w:rFonts w:ascii="Arial" w:hAnsi="Arial" w:cs="Arial"/>
        </w:rPr>
      </w:pPr>
      <w:r w:rsidRPr="001839AB">
        <w:rPr>
          <w:rFonts w:ascii="Arial" w:hAnsi="Arial" w:cs="Arial"/>
          <w:b/>
        </w:rPr>
        <w:t>Proyecto FICYT:</w:t>
      </w:r>
      <w:r w:rsidRPr="00D069F5">
        <w:rPr>
          <w:rFonts w:ascii="Arial" w:hAnsi="Arial" w:cs="Arial"/>
        </w:rPr>
        <w:t xml:space="preserve"> Estudio numérico y experimental con aplicación de modelos </w:t>
      </w:r>
      <w:proofErr w:type="spellStart"/>
      <w:r w:rsidRPr="00D069F5">
        <w:rPr>
          <w:rFonts w:ascii="Arial" w:hAnsi="Arial" w:cs="Arial"/>
        </w:rPr>
        <w:t>micromecánicos</w:t>
      </w:r>
      <w:proofErr w:type="spellEnd"/>
      <w:r w:rsidRPr="00D069F5">
        <w:rPr>
          <w:rFonts w:ascii="Arial" w:hAnsi="Arial" w:cs="Arial"/>
        </w:rPr>
        <w:t xml:space="preserve"> de daño del comportamiento a fractura de estructuras soldadas de acero de alto límite elástico en situaciones de baja constricción (U. de Oviedo, ARCELOR MITTAL)</w:t>
      </w:r>
    </w:p>
    <w:p w:rsidR="00881A0E" w:rsidRPr="00970416" w:rsidRDefault="00BF6589" w:rsidP="002E12DA">
      <w:pPr>
        <w:jc w:val="both"/>
        <w:rPr>
          <w:rFonts w:ascii="Arial" w:hAnsi="Arial" w:cs="Arial"/>
        </w:rPr>
      </w:pPr>
      <w:r w:rsidRPr="001839AB">
        <w:rPr>
          <w:rFonts w:ascii="Arial" w:hAnsi="Arial" w:cs="Arial"/>
          <w:b/>
        </w:rPr>
        <w:t>Plan Regional de Investigación:</w:t>
      </w:r>
      <w:r w:rsidRPr="00D069F5">
        <w:rPr>
          <w:rFonts w:ascii="Arial" w:hAnsi="Arial" w:cs="Arial"/>
        </w:rPr>
        <w:t xml:space="preserve"> Influencia de las propiedades mecánicas de la zona afectada térmicamente en el comportamiento a fractura de uniones soldadas (U. de Oviedo, GENERAL DYNAMICS)</w:t>
      </w: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117805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5B7BCF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EQUIPAMIENTO SINGULAR RELACIONADO CON ESTA CAPACIDAD</w:t>
            </w:r>
          </w:p>
        </w:tc>
      </w:tr>
    </w:tbl>
    <w:p w:rsidR="00881A0E" w:rsidRPr="00970416" w:rsidRDefault="00E052CF" w:rsidP="0097041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Máquinas de ensayos mecánicos estáticas y dinámicas, equipadas con diferentes técnicas </w:t>
      </w:r>
      <w:proofErr w:type="spellStart"/>
      <w:r>
        <w:rPr>
          <w:rFonts w:ascii="Arial" w:hAnsi="Arial" w:cs="Arial"/>
        </w:rPr>
        <w:t>extensométricas</w:t>
      </w:r>
      <w:proofErr w:type="spellEnd"/>
      <w:r>
        <w:rPr>
          <w:rFonts w:ascii="Arial" w:hAnsi="Arial" w:cs="Arial"/>
        </w:rPr>
        <w:t>, hornos y cámaras criogénicas, laboratorio de microscopía óptica y electrónica, hornos y estaciones de trabajo con software específico de cálculo por elementos finitos.</w:t>
      </w: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FA7481" w:rsidRPr="00FA7481" w:rsidTr="00FA7481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881A0E" w:rsidRPr="00FA7481" w:rsidRDefault="00881A0E" w:rsidP="005E4E83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FOTOGRAFÍAS/</w:t>
            </w:r>
            <w:r w:rsidR="005E4E8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ESQUEMAS/</w:t>
            </w:r>
            <w:r w:rsidR="005E4E8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DIBUJOS</w:t>
            </w:r>
            <w:r w:rsidR="005E4E83" w:rsidRPr="00FA7481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5E4E83"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(Adjuntar 1 ó 2 fotos, esquemas, dibujos en formato </w:t>
            </w:r>
            <w:proofErr w:type="spellStart"/>
            <w:r w:rsidR="005E4E83" w:rsidRPr="005E4E83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gif</w:t>
            </w:r>
            <w:proofErr w:type="spellEnd"/>
            <w:r w:rsidR="005E4E83" w:rsidRPr="005E4E83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5E4E83"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 </w:t>
            </w:r>
            <w:proofErr w:type="spellStart"/>
            <w:r w:rsidR="005E4E83" w:rsidRPr="005E4E83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jpeg</w:t>
            </w:r>
            <w:proofErr w:type="spellEnd"/>
            <w:r w:rsidR="005E4E83"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no sujetos a derechos de terceros, que acompañen a la descripción de la capacidad. </w:t>
            </w:r>
            <w:r w:rsidR="005E4E83"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</w:rPr>
              <w:t>No insertar en el documento Word</w:t>
            </w:r>
            <w:r w:rsidR="005E4E83"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Tamaño </w:t>
            </w:r>
            <w:proofErr w:type="spellStart"/>
            <w:r w:rsidR="005E4E83"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máx</w:t>
            </w:r>
            <w:proofErr w:type="spellEnd"/>
            <w:r w:rsidR="005E4E83"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512 x 500 píxeles)</w:t>
            </w:r>
          </w:p>
        </w:tc>
      </w:tr>
    </w:tbl>
    <w:p w:rsidR="00881A0E" w:rsidRPr="00970416" w:rsidRDefault="00E052CF" w:rsidP="005E4E8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CD6AB4" w:rsidRPr="00970416" w:rsidRDefault="00CD6AB4" w:rsidP="00CD6AB4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47"/>
      </w:tblGrid>
      <w:tr w:rsidR="00CD6AB4" w:rsidRPr="00FA7481" w:rsidTr="00824DD3">
        <w:tc>
          <w:tcPr>
            <w:tcW w:w="974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</w:tcPr>
          <w:p w:rsidR="00CD6AB4" w:rsidRPr="00FA7481" w:rsidRDefault="00CD6AB4" w:rsidP="006B4740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A7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COMENTARIOS </w:t>
            </w:r>
            <w:r w:rsidRPr="005E4E8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</w:t>
            </w:r>
            <w:r w:rsidR="006B4740" w:rsidRPr="006B474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Incluir aquella información y </w:t>
            </w:r>
            <w:r w:rsidR="006B474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comentarios que estime oportuno)</w:t>
            </w:r>
          </w:p>
        </w:tc>
      </w:tr>
    </w:tbl>
    <w:p w:rsidR="00CD6AB4" w:rsidRPr="00970416" w:rsidRDefault="00E052CF" w:rsidP="00CD6AB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2E12DA" w:rsidRDefault="002E12DA">
      <w:pPr>
        <w:rPr>
          <w:rFonts w:ascii="Arial" w:hAnsi="Arial" w:cs="Arial"/>
        </w:rPr>
      </w:pPr>
      <w:bookmarkStart w:id="0" w:name="_GoBack"/>
      <w:bookmarkEnd w:id="0"/>
    </w:p>
    <w:sectPr w:rsidR="002E12DA" w:rsidSect="005658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991" w:bottom="709" w:left="1276" w:header="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C9" w:rsidRDefault="00CE78C9">
      <w:pPr>
        <w:spacing w:after="0" w:line="240" w:lineRule="auto"/>
      </w:pPr>
      <w:r>
        <w:separator/>
      </w:r>
    </w:p>
  </w:endnote>
  <w:endnote w:type="continuationSeparator" w:id="0">
    <w:p w:rsidR="00CE78C9" w:rsidRDefault="00C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28"/>
      <w:gridCol w:w="541"/>
    </w:tblGrid>
    <w:tr w:rsidR="005C10CA" w:rsidTr="002D6F2C">
      <w:tc>
        <w:tcPr>
          <w:tcW w:w="4726" w:type="pct"/>
          <w:tcBorders>
            <w:top w:val="single" w:sz="4" w:space="0" w:color="000000" w:themeColor="text1"/>
          </w:tcBorders>
        </w:tcPr>
        <w:p w:rsidR="005C10CA" w:rsidRDefault="00970416" w:rsidP="005C10CA">
          <w:pPr>
            <w:pStyle w:val="Piedepgina"/>
          </w:pPr>
          <w:r>
            <w:t>Oficina de Transferencia de Resultados de la Investigación</w:t>
          </w:r>
        </w:p>
      </w:tc>
      <w:tc>
        <w:tcPr>
          <w:tcW w:w="274" w:type="pct"/>
          <w:tcBorders>
            <w:top w:val="single" w:sz="4" w:space="0" w:color="C0504D" w:themeColor="accent2"/>
          </w:tcBorders>
          <w:shd w:val="clear" w:color="auto" w:fill="FABF8F" w:themeFill="accent6" w:themeFillTint="99"/>
        </w:tcPr>
        <w:p w:rsidR="005C10CA" w:rsidRDefault="006B509B" w:rsidP="002D6F2C">
          <w:pPr>
            <w:pStyle w:val="Encabezado"/>
            <w:jc w:val="center"/>
            <w:rPr>
              <w:color w:val="FFFFFF" w:themeColor="background1"/>
            </w:rPr>
          </w:pPr>
          <w:r>
            <w:fldChar w:fldCharType="begin"/>
          </w:r>
          <w:r w:rsidR="004B62F8">
            <w:instrText>PAGE   \* MERGEFORMAT</w:instrText>
          </w:r>
          <w:r>
            <w:fldChar w:fldCharType="separate"/>
          </w:r>
          <w:r w:rsidR="008C4897" w:rsidRPr="008C4897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506FB" w:rsidRDefault="00CE7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28"/>
      <w:gridCol w:w="541"/>
    </w:tblGrid>
    <w:tr w:rsidR="00D506FB" w:rsidTr="00321FC1">
      <w:tc>
        <w:tcPr>
          <w:tcW w:w="4726" w:type="pct"/>
          <w:tcBorders>
            <w:top w:val="single" w:sz="4" w:space="0" w:color="000000" w:themeColor="text1"/>
          </w:tcBorders>
        </w:tcPr>
        <w:p w:rsidR="00D506FB" w:rsidRDefault="00970416" w:rsidP="003A7E8A">
          <w:pPr>
            <w:pStyle w:val="Piedepgina"/>
          </w:pPr>
          <w:r>
            <w:t>Oficina de Transferencia de Resultados de la Investigación</w:t>
          </w:r>
        </w:p>
      </w:tc>
      <w:tc>
        <w:tcPr>
          <w:tcW w:w="274" w:type="pct"/>
          <w:tcBorders>
            <w:top w:val="single" w:sz="4" w:space="0" w:color="C0504D" w:themeColor="accent2"/>
          </w:tcBorders>
          <w:shd w:val="clear" w:color="auto" w:fill="FABF8F" w:themeFill="accent6" w:themeFillTint="99"/>
        </w:tcPr>
        <w:p w:rsidR="00D506FB" w:rsidRDefault="006B509B" w:rsidP="00321FC1">
          <w:pPr>
            <w:pStyle w:val="Encabezado"/>
            <w:jc w:val="center"/>
            <w:rPr>
              <w:color w:val="FFFFFF" w:themeColor="background1"/>
            </w:rPr>
          </w:pPr>
          <w:r>
            <w:fldChar w:fldCharType="begin"/>
          </w:r>
          <w:r w:rsidR="004B62F8">
            <w:instrText>PAGE   \* MERGEFORMAT</w:instrText>
          </w:r>
          <w:r>
            <w:fldChar w:fldCharType="separate"/>
          </w:r>
          <w:r w:rsidR="008C4897" w:rsidRPr="008C4897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734DF" w:rsidRDefault="00CE7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C9" w:rsidRDefault="00CE78C9">
      <w:pPr>
        <w:spacing w:after="0" w:line="240" w:lineRule="auto"/>
      </w:pPr>
      <w:r>
        <w:separator/>
      </w:r>
    </w:p>
  </w:footnote>
  <w:footnote w:type="continuationSeparator" w:id="0">
    <w:p w:rsidR="00CE78C9" w:rsidRDefault="00CE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71" w:rsidRDefault="00D60C91" w:rsidP="00D60C91">
    <w:pPr>
      <w:pStyle w:val="Encabezado"/>
      <w:tabs>
        <w:tab w:val="clear" w:pos="4252"/>
      </w:tabs>
      <w:spacing w:after="120"/>
    </w:pPr>
    <w:r w:rsidRPr="00D60C91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126365</wp:posOffset>
          </wp:positionV>
          <wp:extent cx="1399540" cy="407670"/>
          <wp:effectExtent l="0" t="0" r="0" b="0"/>
          <wp:wrapThrough wrapText="bothSides">
            <wp:wrapPolygon edited="0">
              <wp:start x="0" y="0"/>
              <wp:lineTo x="0" y="20187"/>
              <wp:lineTo x="21169" y="20187"/>
              <wp:lineTo x="21169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0C91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34925</wp:posOffset>
          </wp:positionV>
          <wp:extent cx="614045" cy="499110"/>
          <wp:effectExtent l="0" t="0" r="0" b="0"/>
          <wp:wrapThrough wrapText="bothSides">
            <wp:wrapPolygon edited="0">
              <wp:start x="0" y="0"/>
              <wp:lineTo x="0" y="20611"/>
              <wp:lineTo x="20774" y="20611"/>
              <wp:lineTo x="20774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0C9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140335</wp:posOffset>
          </wp:positionV>
          <wp:extent cx="648970" cy="393700"/>
          <wp:effectExtent l="0" t="0" r="0" b="6350"/>
          <wp:wrapThrough wrapText="bothSides">
            <wp:wrapPolygon edited="0">
              <wp:start x="0" y="0"/>
              <wp:lineTo x="0" y="20903"/>
              <wp:lineTo x="20924" y="20903"/>
              <wp:lineTo x="20924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3B" w:rsidRDefault="00486E3B">
    <w:pPr>
      <w:pStyle w:val="Encabezado"/>
    </w:pPr>
    <w:r w:rsidRPr="00486E3B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5512435</wp:posOffset>
          </wp:positionH>
          <wp:positionV relativeFrom="paragraph">
            <wp:posOffset>292735</wp:posOffset>
          </wp:positionV>
          <wp:extent cx="648970" cy="393700"/>
          <wp:effectExtent l="0" t="0" r="0" b="6350"/>
          <wp:wrapThrough wrapText="bothSides">
            <wp:wrapPolygon edited="0">
              <wp:start x="0" y="0"/>
              <wp:lineTo x="0" y="20903"/>
              <wp:lineTo x="20924" y="20903"/>
              <wp:lineTo x="20924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6E3B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187325</wp:posOffset>
          </wp:positionV>
          <wp:extent cx="614045" cy="499110"/>
          <wp:effectExtent l="0" t="0" r="0" b="0"/>
          <wp:wrapThrough wrapText="bothSides">
            <wp:wrapPolygon edited="0">
              <wp:start x="0" y="0"/>
              <wp:lineTo x="0" y="20611"/>
              <wp:lineTo x="20774" y="20611"/>
              <wp:lineTo x="20774" y="0"/>
              <wp:lineTo x="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E3B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278765</wp:posOffset>
          </wp:positionV>
          <wp:extent cx="1399540" cy="407670"/>
          <wp:effectExtent l="0" t="0" r="0" b="0"/>
          <wp:wrapThrough wrapText="bothSides">
            <wp:wrapPolygon edited="0">
              <wp:start x="0" y="0"/>
              <wp:lineTo x="0" y="20187"/>
              <wp:lineTo x="21169" y="20187"/>
              <wp:lineTo x="21169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BC6"/>
    <w:multiLevelType w:val="hybridMultilevel"/>
    <w:tmpl w:val="E7FA08D0"/>
    <w:lvl w:ilvl="0" w:tplc="C3A8BAE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12A"/>
    <w:multiLevelType w:val="multilevel"/>
    <w:tmpl w:val="6578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738EB"/>
    <w:multiLevelType w:val="hybridMultilevel"/>
    <w:tmpl w:val="AF26D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E2599"/>
    <w:multiLevelType w:val="hybridMultilevel"/>
    <w:tmpl w:val="2EEEC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908C0"/>
    <w:multiLevelType w:val="multilevel"/>
    <w:tmpl w:val="B726AC8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011378A"/>
    <w:multiLevelType w:val="hybridMultilevel"/>
    <w:tmpl w:val="D0E8E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5E87"/>
    <w:multiLevelType w:val="multilevel"/>
    <w:tmpl w:val="6578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3D196F"/>
    <w:multiLevelType w:val="multilevel"/>
    <w:tmpl w:val="657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792C69"/>
    <w:multiLevelType w:val="multilevel"/>
    <w:tmpl w:val="6578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1162EE"/>
    <w:multiLevelType w:val="multilevel"/>
    <w:tmpl w:val="6578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DA7580"/>
    <w:multiLevelType w:val="hybridMultilevel"/>
    <w:tmpl w:val="021C4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0E"/>
    <w:rsid w:val="000104B7"/>
    <w:rsid w:val="00055746"/>
    <w:rsid w:val="00066C24"/>
    <w:rsid w:val="00085AF2"/>
    <w:rsid w:val="000A0745"/>
    <w:rsid w:val="00131ED4"/>
    <w:rsid w:val="00153799"/>
    <w:rsid w:val="00156EB8"/>
    <w:rsid w:val="00171186"/>
    <w:rsid w:val="0017153E"/>
    <w:rsid w:val="00181197"/>
    <w:rsid w:val="00191491"/>
    <w:rsid w:val="001F1412"/>
    <w:rsid w:val="00217A56"/>
    <w:rsid w:val="0022430C"/>
    <w:rsid w:val="00237338"/>
    <w:rsid w:val="002901F5"/>
    <w:rsid w:val="002C678E"/>
    <w:rsid w:val="002D6F2C"/>
    <w:rsid w:val="002E12DA"/>
    <w:rsid w:val="002E70BF"/>
    <w:rsid w:val="00320E90"/>
    <w:rsid w:val="00321FC1"/>
    <w:rsid w:val="003358D8"/>
    <w:rsid w:val="00352638"/>
    <w:rsid w:val="003549CE"/>
    <w:rsid w:val="00376D36"/>
    <w:rsid w:val="003850D5"/>
    <w:rsid w:val="003A7E8A"/>
    <w:rsid w:val="003B78F9"/>
    <w:rsid w:val="003D0071"/>
    <w:rsid w:val="004403F3"/>
    <w:rsid w:val="004822E5"/>
    <w:rsid w:val="004866CC"/>
    <w:rsid w:val="00486E3B"/>
    <w:rsid w:val="004A564D"/>
    <w:rsid w:val="004B0981"/>
    <w:rsid w:val="004B62F8"/>
    <w:rsid w:val="004C280A"/>
    <w:rsid w:val="004F456D"/>
    <w:rsid w:val="00512E3C"/>
    <w:rsid w:val="00523EE6"/>
    <w:rsid w:val="00536B1C"/>
    <w:rsid w:val="005658BF"/>
    <w:rsid w:val="00573FB9"/>
    <w:rsid w:val="005830D7"/>
    <w:rsid w:val="0059377B"/>
    <w:rsid w:val="005B7BCF"/>
    <w:rsid w:val="005D0FE9"/>
    <w:rsid w:val="005E4E83"/>
    <w:rsid w:val="00625244"/>
    <w:rsid w:val="00646769"/>
    <w:rsid w:val="00654B0F"/>
    <w:rsid w:val="00673FB3"/>
    <w:rsid w:val="006937FD"/>
    <w:rsid w:val="006B4740"/>
    <w:rsid w:val="006B4B70"/>
    <w:rsid w:val="006B509B"/>
    <w:rsid w:val="006E3C7A"/>
    <w:rsid w:val="00701FAD"/>
    <w:rsid w:val="00733816"/>
    <w:rsid w:val="007A4D28"/>
    <w:rsid w:val="007D0F3A"/>
    <w:rsid w:val="007D2FB0"/>
    <w:rsid w:val="00801461"/>
    <w:rsid w:val="00824ED2"/>
    <w:rsid w:val="00833C73"/>
    <w:rsid w:val="00861485"/>
    <w:rsid w:val="0086460D"/>
    <w:rsid w:val="008671D2"/>
    <w:rsid w:val="00867CF3"/>
    <w:rsid w:val="00867F0E"/>
    <w:rsid w:val="008816CE"/>
    <w:rsid w:val="00881A0E"/>
    <w:rsid w:val="0089359E"/>
    <w:rsid w:val="008A713E"/>
    <w:rsid w:val="008C4897"/>
    <w:rsid w:val="008C63DC"/>
    <w:rsid w:val="008F22F6"/>
    <w:rsid w:val="009317D8"/>
    <w:rsid w:val="00961FCA"/>
    <w:rsid w:val="00962B6B"/>
    <w:rsid w:val="00970416"/>
    <w:rsid w:val="0097556A"/>
    <w:rsid w:val="009D6C09"/>
    <w:rsid w:val="009E418C"/>
    <w:rsid w:val="009E6D84"/>
    <w:rsid w:val="00A02FEC"/>
    <w:rsid w:val="00A1446F"/>
    <w:rsid w:val="00A15B4E"/>
    <w:rsid w:val="00A571BB"/>
    <w:rsid w:val="00AA1297"/>
    <w:rsid w:val="00AC7509"/>
    <w:rsid w:val="00AD34C7"/>
    <w:rsid w:val="00AF4EB8"/>
    <w:rsid w:val="00B07C2D"/>
    <w:rsid w:val="00B64E38"/>
    <w:rsid w:val="00BC6C0E"/>
    <w:rsid w:val="00BE0D20"/>
    <w:rsid w:val="00BF6589"/>
    <w:rsid w:val="00C11211"/>
    <w:rsid w:val="00C154F8"/>
    <w:rsid w:val="00C32416"/>
    <w:rsid w:val="00C91999"/>
    <w:rsid w:val="00CD6AB4"/>
    <w:rsid w:val="00CE78C9"/>
    <w:rsid w:val="00D12F88"/>
    <w:rsid w:val="00D22349"/>
    <w:rsid w:val="00D57667"/>
    <w:rsid w:val="00D60C91"/>
    <w:rsid w:val="00D76A35"/>
    <w:rsid w:val="00D94634"/>
    <w:rsid w:val="00D96DBD"/>
    <w:rsid w:val="00DC37C7"/>
    <w:rsid w:val="00DE1357"/>
    <w:rsid w:val="00DE4DF2"/>
    <w:rsid w:val="00E052CF"/>
    <w:rsid w:val="00E44460"/>
    <w:rsid w:val="00EB2C25"/>
    <w:rsid w:val="00EE6194"/>
    <w:rsid w:val="00F07FC1"/>
    <w:rsid w:val="00F523FD"/>
    <w:rsid w:val="00FA7481"/>
    <w:rsid w:val="00FC2CF4"/>
    <w:rsid w:val="00FC2F2D"/>
    <w:rsid w:val="00FF0DB5"/>
    <w:rsid w:val="00FF53B9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881A0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81A0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8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A0E"/>
  </w:style>
  <w:style w:type="paragraph" w:styleId="Prrafodelista">
    <w:name w:val="List Paragraph"/>
    <w:basedOn w:val="Normal"/>
    <w:uiPriority w:val="34"/>
    <w:qFormat/>
    <w:rsid w:val="00881A0E"/>
    <w:pPr>
      <w:ind w:left="720"/>
      <w:contextualSpacing/>
    </w:pPr>
  </w:style>
  <w:style w:type="table" w:styleId="Sombreadoclaro">
    <w:name w:val="Light Shading"/>
    <w:basedOn w:val="Tablanormal"/>
    <w:uiPriority w:val="60"/>
    <w:rsid w:val="00881A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8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A0E"/>
  </w:style>
  <w:style w:type="paragraph" w:styleId="Textodeglobo">
    <w:name w:val="Balloon Text"/>
    <w:basedOn w:val="Normal"/>
    <w:link w:val="TextodegloboCar"/>
    <w:uiPriority w:val="99"/>
    <w:semiHidden/>
    <w:unhideWhenUsed/>
    <w:rsid w:val="008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6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5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5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E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881A0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81A0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8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A0E"/>
  </w:style>
  <w:style w:type="paragraph" w:styleId="Prrafodelista">
    <w:name w:val="List Paragraph"/>
    <w:basedOn w:val="Normal"/>
    <w:uiPriority w:val="34"/>
    <w:qFormat/>
    <w:rsid w:val="00881A0E"/>
    <w:pPr>
      <w:ind w:left="720"/>
      <w:contextualSpacing/>
    </w:pPr>
  </w:style>
  <w:style w:type="table" w:styleId="Sombreadoclaro">
    <w:name w:val="Light Shading"/>
    <w:basedOn w:val="Tablanormal"/>
    <w:uiPriority w:val="60"/>
    <w:rsid w:val="00881A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8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A0E"/>
  </w:style>
  <w:style w:type="paragraph" w:styleId="Textodeglobo">
    <w:name w:val="Balloon Text"/>
    <w:basedOn w:val="Normal"/>
    <w:link w:val="TextodegloboCar"/>
    <w:uiPriority w:val="99"/>
    <w:semiHidden/>
    <w:unhideWhenUsed/>
    <w:rsid w:val="008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6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5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5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732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85A4-B6E3-48B6-ACB1-3D30DD34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pcmem0</cp:lastModifiedBy>
  <cp:revision>42</cp:revision>
  <cp:lastPrinted>2012-04-26T11:26:00Z</cp:lastPrinted>
  <dcterms:created xsi:type="dcterms:W3CDTF">2012-05-15T15:48:00Z</dcterms:created>
  <dcterms:modified xsi:type="dcterms:W3CDTF">2015-05-28T10:05:00Z</dcterms:modified>
</cp:coreProperties>
</file>